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Autospacing="0" w:afterAutospacing="0"/>
        <w:rPr>
          <w:rFonts w:hint="eastAsia" w:ascii="黑体" w:hAnsi="黑体" w:eastAsia="黑体" w:cs="黑体"/>
          <w:b/>
          <w:bCs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40"/>
          <w:szCs w:val="40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8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333333"/>
          <w:sz w:val="40"/>
          <w:szCs w:val="40"/>
          <w:shd w:val="clear" w:color="auto" w:fill="FFFFFF"/>
        </w:rPr>
      </w:pPr>
    </w:p>
    <w:p>
      <w:pPr>
        <w:pStyle w:val="8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333333"/>
          <w:sz w:val="40"/>
          <w:szCs w:val="40"/>
          <w:shd w:val="clear" w:color="auto" w:fill="FFFFFF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</w:p>
    <w:p>
      <w:pPr>
        <w:snapToGrid w:val="0"/>
        <w:jc w:val="center"/>
        <w:rPr>
          <w:rFonts w:ascii="黑体" w:hAnsi="黑体" w:eastAsia="黑体" w:cs="Times New Roman"/>
          <w:b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b/>
          <w:kern w:val="0"/>
          <w:sz w:val="44"/>
          <w:szCs w:val="44"/>
          <w:lang w:eastAsia="zh-CN"/>
        </w:rPr>
        <w:t>建筑领域</w:t>
      </w:r>
      <w:r>
        <w:rPr>
          <w:rFonts w:hint="eastAsia" w:ascii="黑体" w:hAnsi="黑体" w:eastAsia="黑体" w:cs="Times New Roman"/>
          <w:b/>
          <w:kern w:val="0"/>
          <w:sz w:val="44"/>
          <w:szCs w:val="44"/>
        </w:rPr>
        <w:t>合同能源管理优秀示范项目案例</w:t>
      </w:r>
    </w:p>
    <w:p>
      <w:pPr>
        <w:snapToGrid w:val="0"/>
        <w:jc w:val="center"/>
        <w:rPr>
          <w:rFonts w:ascii="黑体" w:hAnsi="黑体" w:eastAsia="黑体" w:cs="Times New Roman"/>
          <w:b/>
          <w:kern w:val="0"/>
          <w:sz w:val="52"/>
          <w:szCs w:val="52"/>
        </w:rPr>
      </w:pPr>
    </w:p>
    <w:p>
      <w:pPr>
        <w:snapToGrid w:val="0"/>
        <w:jc w:val="center"/>
        <w:rPr>
          <w:rFonts w:ascii="黑体" w:hAnsi="黑体" w:eastAsia="黑体" w:cs="Times New Roman"/>
          <w:b/>
          <w:kern w:val="0"/>
          <w:sz w:val="52"/>
          <w:szCs w:val="52"/>
        </w:rPr>
      </w:pPr>
      <w:r>
        <w:rPr>
          <w:rFonts w:hint="eastAsia" w:ascii="黑体" w:hAnsi="黑体" w:eastAsia="黑体" w:cs="Times New Roman"/>
          <w:b/>
          <w:kern w:val="0"/>
          <w:sz w:val="52"/>
          <w:szCs w:val="52"/>
          <w:lang w:eastAsia="zh-CN"/>
        </w:rPr>
        <w:t>申</w:t>
      </w:r>
      <w:r>
        <w:rPr>
          <w:rFonts w:hint="eastAsia" w:ascii="黑体" w:hAnsi="黑体" w:eastAsia="黑体" w:cs="Times New Roman"/>
          <w:b/>
          <w:kern w:val="0"/>
          <w:sz w:val="52"/>
          <w:szCs w:val="52"/>
        </w:rPr>
        <w:t xml:space="preserve"> 报 书</w:t>
      </w:r>
    </w:p>
    <w:p>
      <w:pPr>
        <w:spacing w:line="600" w:lineRule="exact"/>
        <w:jc w:val="center"/>
        <w:rPr>
          <w:rFonts w:ascii="仿宋" w:hAnsi="仿宋" w:eastAsia="仿宋"/>
        </w:rPr>
      </w:pPr>
    </w:p>
    <w:p>
      <w:pPr>
        <w:spacing w:line="600" w:lineRule="exact"/>
        <w:jc w:val="center"/>
        <w:rPr>
          <w:rFonts w:ascii="仿宋" w:hAnsi="仿宋" w:eastAsia="仿宋"/>
        </w:rPr>
      </w:pPr>
    </w:p>
    <w:p>
      <w:pPr>
        <w:spacing w:line="600" w:lineRule="exact"/>
        <w:jc w:val="center"/>
        <w:rPr>
          <w:rFonts w:ascii="仿宋" w:hAnsi="仿宋" w:eastAsia="仿宋"/>
        </w:rPr>
      </w:pPr>
    </w:p>
    <w:p>
      <w:pPr>
        <w:spacing w:line="600" w:lineRule="exact"/>
        <w:jc w:val="center"/>
        <w:rPr>
          <w:rFonts w:ascii="仿宋" w:hAnsi="仿宋" w:eastAsia="仿宋"/>
        </w:rPr>
      </w:pPr>
    </w:p>
    <w:p>
      <w:pPr>
        <w:spacing w:line="600" w:lineRule="exact"/>
        <w:jc w:val="center"/>
        <w:rPr>
          <w:rFonts w:ascii="仿宋" w:hAnsi="仿宋" w:eastAsia="仿宋"/>
        </w:rPr>
      </w:pPr>
    </w:p>
    <w:p>
      <w:pPr>
        <w:spacing w:line="6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              </w:t>
      </w:r>
    </w:p>
    <w:p>
      <w:pPr>
        <w:spacing w:line="600" w:lineRule="exact"/>
        <w:jc w:val="center"/>
        <w:rPr>
          <w:rFonts w:ascii="仿宋" w:hAnsi="仿宋" w:eastAsia="仿宋"/>
        </w:rPr>
      </w:pPr>
    </w:p>
    <w:p>
      <w:pPr>
        <w:spacing w:line="480" w:lineRule="auto"/>
        <w:ind w:firstLine="92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80"/>
          <w:sz w:val="30"/>
        </w:rPr>
        <w:t>填报单位</w:t>
      </w:r>
      <w:r>
        <w:rPr>
          <w:rFonts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ascii="仿宋" w:hAnsi="仿宋" w:eastAsia="仿宋"/>
          <w:sz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</w:rPr>
        <w:t>（公章）</w:t>
      </w:r>
    </w:p>
    <w:p>
      <w:pPr>
        <w:spacing w:line="480" w:lineRule="auto"/>
        <w:ind w:firstLine="92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80"/>
          <w:sz w:val="30"/>
        </w:rPr>
        <w:t>联系方式</w:t>
      </w:r>
      <w:r>
        <w:rPr>
          <w:rFonts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ascii="仿宋" w:hAnsi="仿宋" w:eastAsia="仿宋"/>
          <w:sz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</w:p>
    <w:p>
      <w:pPr>
        <w:spacing w:line="480" w:lineRule="auto"/>
        <w:ind w:firstLine="920" w:firstLineChars="20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pacing w:val="80"/>
          <w:sz w:val="30"/>
        </w:rPr>
        <w:t>填报时间</w:t>
      </w:r>
      <w:r>
        <w:rPr>
          <w:rFonts w:hint="eastAsia" w:ascii="仿宋" w:hAnsi="仿宋" w:eastAsia="仿宋"/>
          <w:sz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</w:rPr>
        <w:t>年</w:t>
      </w:r>
      <w:r>
        <w:rPr>
          <w:rFonts w:hint="eastAsia" w:ascii="仿宋" w:hAnsi="仿宋" w:eastAsia="仿宋"/>
          <w:sz w:val="30"/>
          <w:u w:val="single"/>
        </w:rPr>
        <w:t xml:space="preserve">  </w:t>
      </w:r>
      <w:r>
        <w:rPr>
          <w:rFonts w:ascii="仿宋" w:hAnsi="仿宋" w:eastAsia="仿宋"/>
          <w:sz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u w:val="single"/>
        </w:rPr>
        <w:t xml:space="preserve">  </w:t>
      </w:r>
      <w:r>
        <w:rPr>
          <w:rFonts w:hint="eastAsia"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  <w:u w:val="single"/>
        </w:rPr>
        <w:t xml:space="preserve">  </w:t>
      </w:r>
      <w:r>
        <w:rPr>
          <w:rFonts w:ascii="仿宋" w:hAnsi="仿宋" w:eastAsia="仿宋"/>
          <w:sz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u w:val="single"/>
        </w:rPr>
        <w:t xml:space="preserve"> </w:t>
      </w:r>
      <w:r>
        <w:rPr>
          <w:rFonts w:hint="eastAsia" w:ascii="仿宋" w:hAnsi="仿宋" w:eastAsia="仿宋"/>
          <w:sz w:val="30"/>
        </w:rPr>
        <w:t>日</w:t>
      </w:r>
    </w:p>
    <w:p>
      <w:pPr>
        <w:snapToGrid w:val="0"/>
        <w:jc w:val="center"/>
        <w:rPr>
          <w:rFonts w:ascii="仿宋" w:hAnsi="仿宋" w:eastAsia="仿宋"/>
          <w:sz w:val="32"/>
        </w:rPr>
      </w:pPr>
    </w:p>
    <w:p>
      <w:pPr>
        <w:snapToGrid w:val="0"/>
        <w:rPr>
          <w:rFonts w:ascii="仿宋" w:hAnsi="仿宋" w:eastAsia="仿宋"/>
          <w:sz w:val="32"/>
        </w:rPr>
      </w:pPr>
    </w:p>
    <w:p>
      <w:pPr>
        <w:snapToGrid w:val="0"/>
        <w:jc w:val="center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  <w:lang w:eastAsia="zh-CN"/>
        </w:rPr>
        <w:t>广州市建筑节能科技协会</w:t>
      </w:r>
      <w:r>
        <w:rPr>
          <w:rFonts w:hint="eastAsia" w:ascii="仿宋" w:hAnsi="仿宋" w:eastAsia="仿宋"/>
          <w:sz w:val="30"/>
        </w:rPr>
        <w:t>制</w:t>
      </w: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ascii="仿宋" w:hAnsi="仿宋" w:eastAsia="仿宋"/>
          <w:sz w:val="30"/>
        </w:rPr>
        <w:br w:type="page"/>
      </w: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建筑领域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合同能源管理优秀示范项目案例</w:t>
      </w: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申报承诺表</w:t>
      </w:r>
    </w:p>
    <w:tbl>
      <w:tblPr>
        <w:tblStyle w:val="9"/>
        <w:tblpPr w:leftFromText="180" w:rightFromText="180" w:vertAnchor="text" w:horzAnchor="page" w:tblpX="1792" w:tblpY="61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节能服务公司名称</w:t>
            </w:r>
          </w:p>
        </w:tc>
        <w:tc>
          <w:tcPr>
            <w:tcW w:w="329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3293" w:type="pct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7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672" w:firstLineChars="21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我单位为××（用能单位）以合同能源管理方式实施的××项目真实、可靠，所有上报材料真实、无误，并愿意承担因申报材料不实引发的全部责任。</w:t>
            </w:r>
          </w:p>
          <w:p>
            <w:pPr>
              <w:spacing w:line="360" w:lineRule="auto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特此承诺。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申报单位（盖章）：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  月    日</w:t>
            </w:r>
          </w:p>
          <w:p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b/>
          <w:bCs/>
          <w:color w:val="333333"/>
          <w:sz w:val="40"/>
          <w:szCs w:val="40"/>
          <w:shd w:val="clear" w:color="auto" w:fill="FFFFFF"/>
        </w:rPr>
      </w:pP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ascii="仿宋" w:hAnsi="仿宋" w:eastAsia="仿宋"/>
          <w:sz w:val="28"/>
        </w:rPr>
        <w:br w:type="page"/>
      </w: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建筑领域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合同能源管理优秀示范项目案例</w:t>
      </w: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基本情况表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2730"/>
        <w:gridCol w:w="184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878" w:type="pct"/>
            <w:gridSpan w:val="3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合同类型</w:t>
            </w:r>
          </w:p>
        </w:tc>
        <w:tc>
          <w:tcPr>
            <w:tcW w:w="3878" w:type="pct"/>
            <w:gridSpan w:val="3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节能效益分享型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节能量保证型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能源费用托管型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融资租赁型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项目实施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必要性</w:t>
            </w:r>
          </w:p>
        </w:tc>
        <w:tc>
          <w:tcPr>
            <w:tcW w:w="387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改造前能源消耗的现状及存在的主要问题等。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项目主要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3878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采取××技术，对××（边界范围）实施节能改造/建设，包括主要建设/改造内容，购置设备等。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年节能量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（tce）</w:t>
            </w:r>
          </w:p>
        </w:tc>
        <w:tc>
          <w:tcPr>
            <w:tcW w:w="1602" w:type="pc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360" w:lineRule="auto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年节能效益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1194" w:type="pc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年减碳量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（tC</w:t>
            </w:r>
            <w:r>
              <w:rPr>
                <w:rFonts w:ascii="仿宋" w:hAnsi="仿宋" w:eastAsia="仿宋" w:cs="仿宋"/>
                <w:sz w:val="28"/>
                <w:szCs w:val="28"/>
              </w:rPr>
              <w:t>O</w:t>
            </w:r>
            <w:r>
              <w:rPr>
                <w:rFonts w:ascii="仿宋" w:hAnsi="仿宋" w:eastAsia="仿宋" w:cs="仿宋"/>
                <w:sz w:val="28"/>
                <w:szCs w:val="28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602" w:type="pc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投资额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（万元）</w:t>
            </w:r>
          </w:p>
        </w:tc>
        <w:tc>
          <w:tcPr>
            <w:tcW w:w="1194" w:type="pc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建设时间</w:t>
            </w:r>
          </w:p>
        </w:tc>
        <w:tc>
          <w:tcPr>
            <w:tcW w:w="1602" w:type="pc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202×.×-202×.×</w:t>
            </w:r>
          </w:p>
        </w:tc>
        <w:tc>
          <w:tcPr>
            <w:tcW w:w="108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合同期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（年）</w:t>
            </w:r>
          </w:p>
        </w:tc>
        <w:tc>
          <w:tcPr>
            <w:tcW w:w="1194" w:type="pct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122" w:type="pct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宣传推广</w:t>
            </w:r>
          </w:p>
        </w:tc>
        <w:tc>
          <w:tcPr>
            <w:tcW w:w="3878" w:type="pct"/>
            <w:gridSpan w:val="3"/>
            <w:vAlign w:val="center"/>
          </w:tcPr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是否同意免费入选《合同能源管理优秀示范项目案例集》</w:t>
            </w:r>
          </w:p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是    □否</w:t>
            </w:r>
          </w:p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是否同意免费在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协会</w:t>
            </w:r>
            <w:r>
              <w:rPr>
                <w:rFonts w:hint="eastAsia" w:ascii="仿宋" w:hAnsi="仿宋" w:eastAsia="仿宋" w:cs="仿宋"/>
                <w:sz w:val="24"/>
              </w:rPr>
              <w:t>官方网站及微信公众号上发布</w:t>
            </w:r>
          </w:p>
          <w:p>
            <w:pPr>
              <w:spacing w:line="360" w:lineRule="auto"/>
              <w:ind w:firstLine="120" w:firstLine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是    □否</w:t>
            </w:r>
          </w:p>
        </w:tc>
      </w:tr>
    </w:tbl>
    <w:p>
      <w:pPr>
        <w:rPr>
          <w:rFonts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br w:type="page"/>
      </w: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建筑领域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合同能源管理优秀示范项目案例</w:t>
      </w: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内容说明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一、项目名称</w:t>
      </w:r>
      <w:r>
        <w:rPr>
          <w:rFonts w:hint="eastAsia" w:ascii="楷体" w:hAnsi="楷体" w:eastAsia="楷体" w:cs="Times New Roman"/>
          <w:kern w:val="44"/>
          <w:szCs w:val="21"/>
        </w:rPr>
        <w:t>（四号黑体，缩进两字符，</w:t>
      </w:r>
      <w:r>
        <w:rPr>
          <w:rFonts w:ascii="楷体" w:hAnsi="楷体" w:eastAsia="楷体" w:cs="Times New Roman"/>
          <w:kern w:val="44"/>
          <w:szCs w:val="21"/>
        </w:rPr>
        <w:t>以下标题同</w:t>
      </w:r>
      <w:r>
        <w:rPr>
          <w:rFonts w:hint="eastAsia" w:ascii="楷体" w:hAnsi="楷体" w:eastAsia="楷体" w:cs="Times New Roman"/>
          <w:kern w:val="44"/>
          <w:szCs w:val="21"/>
        </w:rPr>
        <w:t>）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名称应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业主</w:t>
      </w:r>
      <w:r>
        <w:rPr>
          <w:rFonts w:ascii="仿宋" w:hAnsi="仿宋" w:eastAsia="仿宋"/>
          <w:sz w:val="28"/>
          <w:szCs w:val="28"/>
        </w:rPr>
        <w:t>名称（全称）、</w:t>
      </w:r>
      <w:r>
        <w:rPr>
          <w:rFonts w:hint="eastAsia" w:ascii="仿宋" w:hAnsi="仿宋" w:eastAsia="仿宋"/>
          <w:sz w:val="28"/>
          <w:szCs w:val="28"/>
        </w:rPr>
        <w:t>建设或</w:t>
      </w:r>
      <w:r>
        <w:rPr>
          <w:rFonts w:ascii="仿宋" w:hAnsi="仿宋" w:eastAsia="仿宋"/>
          <w:sz w:val="28"/>
          <w:szCs w:val="28"/>
        </w:rPr>
        <w:t>改造对象、应用的主要节能技术；如“</w:t>
      </w:r>
      <w:r>
        <w:rPr>
          <w:rFonts w:hint="eastAsia" w:ascii="仿宋" w:hAnsi="仿宋" w:eastAsia="仿宋"/>
          <w:sz w:val="28"/>
          <w:szCs w:val="28"/>
        </w:rPr>
        <w:t>×</w:t>
      </w:r>
      <w:r>
        <w:rPr>
          <w:rFonts w:ascii="仿宋" w:hAnsi="仿宋" w:eastAsia="仿宋"/>
          <w:sz w:val="28"/>
          <w:szCs w:val="28"/>
        </w:rPr>
        <w:t>×公司</w:t>
      </w:r>
      <w:r>
        <w:rPr>
          <w:rFonts w:hint="eastAsia" w:ascii="仿宋" w:hAnsi="仿宋" w:eastAsia="仿宋"/>
          <w:sz w:val="28"/>
          <w:szCs w:val="28"/>
        </w:rPr>
        <w:t>高炉除尘风机高压变频</w:t>
      </w:r>
      <w:r>
        <w:rPr>
          <w:rFonts w:ascii="仿宋" w:hAnsi="仿宋" w:eastAsia="仿宋"/>
          <w:sz w:val="28"/>
          <w:szCs w:val="28"/>
        </w:rPr>
        <w:t>节能改造项目”。</w:t>
      </w:r>
    </w:p>
    <w:p>
      <w:pPr>
        <w:spacing w:line="360" w:lineRule="auto"/>
        <w:ind w:firstLine="424" w:firstLineChars="202"/>
        <w:rPr>
          <w:rFonts w:ascii="楷体" w:hAnsi="楷体" w:eastAsia="楷体" w:cs="Times New Roman"/>
          <w:kern w:val="44"/>
          <w:szCs w:val="21"/>
        </w:rPr>
      </w:pPr>
      <w:r>
        <w:rPr>
          <w:rFonts w:hint="eastAsia" w:ascii="楷体" w:hAnsi="楷体" w:eastAsia="楷体" w:cs="Times New Roman"/>
          <w:kern w:val="44"/>
          <w:szCs w:val="21"/>
        </w:rPr>
        <w:t>（四号仿宋，缩进两字符，</w:t>
      </w:r>
      <w:r>
        <w:rPr>
          <w:rFonts w:ascii="楷体" w:hAnsi="楷体" w:eastAsia="楷体" w:cs="Times New Roman"/>
          <w:kern w:val="44"/>
          <w:szCs w:val="21"/>
        </w:rPr>
        <w:t>以下正文同</w:t>
      </w:r>
      <w:r>
        <w:rPr>
          <w:rFonts w:hint="eastAsia" w:ascii="楷体" w:hAnsi="楷体" w:eastAsia="楷体" w:cs="Times New Roman"/>
          <w:kern w:val="44"/>
          <w:szCs w:val="21"/>
        </w:rPr>
        <w:t>）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二、项目业</w:t>
      </w:r>
      <w:r>
        <w:rPr>
          <w:rFonts w:ascii="黑体" w:hAnsi="黑体" w:eastAsia="黑体"/>
          <w:sz w:val="28"/>
          <w:szCs w:val="28"/>
        </w:rPr>
        <w:t>主</w:t>
      </w:r>
    </w:p>
    <w:p>
      <w:pPr>
        <w:spacing w:line="360" w:lineRule="auto"/>
        <w:ind w:firstLine="565" w:firstLineChars="202"/>
        <w:rPr>
          <w:rFonts w:ascii="楷体" w:hAnsi="楷体" w:eastAsia="楷体" w:cs="Times New Roman"/>
          <w:kern w:val="44"/>
          <w:szCs w:val="21"/>
        </w:rPr>
      </w:pPr>
      <w:r>
        <w:rPr>
          <w:rFonts w:ascii="仿宋" w:hAnsi="仿宋" w:eastAsia="仿宋"/>
          <w:sz w:val="28"/>
          <w:szCs w:val="28"/>
        </w:rPr>
        <w:t>内容包括业主名称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简介、主要用能设备及其用能情况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三、项</w:t>
      </w:r>
      <w:r>
        <w:rPr>
          <w:rFonts w:ascii="黑体" w:hAnsi="黑体" w:eastAsia="黑体"/>
          <w:sz w:val="28"/>
          <w:szCs w:val="28"/>
        </w:rPr>
        <w:t>目</w:t>
      </w:r>
      <w:r>
        <w:rPr>
          <w:rFonts w:hint="eastAsia" w:ascii="黑体" w:hAnsi="黑体" w:eastAsia="黑体"/>
          <w:sz w:val="28"/>
          <w:szCs w:val="28"/>
        </w:rPr>
        <w:t>实</w:t>
      </w:r>
      <w:r>
        <w:rPr>
          <w:rFonts w:ascii="黑体" w:hAnsi="黑体" w:eastAsia="黑体"/>
          <w:sz w:val="28"/>
          <w:szCs w:val="28"/>
        </w:rPr>
        <w:t>施</w:t>
      </w:r>
      <w:r>
        <w:rPr>
          <w:rFonts w:hint="eastAsia" w:ascii="黑体" w:hAnsi="黑体" w:eastAsia="黑体"/>
          <w:sz w:val="28"/>
          <w:szCs w:val="28"/>
        </w:rPr>
        <w:t>单</w:t>
      </w:r>
      <w:r>
        <w:rPr>
          <w:rFonts w:ascii="黑体" w:hAnsi="黑体" w:eastAsia="黑体"/>
          <w:sz w:val="28"/>
          <w:szCs w:val="28"/>
        </w:rPr>
        <w:t>位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实施项目</w:t>
      </w:r>
      <w:r>
        <w:rPr>
          <w:rFonts w:hint="eastAsia" w:ascii="仿宋" w:hAnsi="仿宋" w:eastAsia="仿宋"/>
          <w:sz w:val="28"/>
          <w:szCs w:val="28"/>
        </w:rPr>
        <w:t>的节能服务公司</w:t>
      </w:r>
      <w:r>
        <w:rPr>
          <w:rFonts w:ascii="仿宋" w:hAnsi="仿宋" w:eastAsia="仿宋"/>
          <w:sz w:val="28"/>
          <w:szCs w:val="28"/>
        </w:rPr>
        <w:t>全称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四、项目内容</w:t>
      </w:r>
    </w:p>
    <w:p>
      <w:pPr>
        <w:spacing w:line="360" w:lineRule="auto"/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 技术原理及适用领域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包括采用的主要节能技术、节能原理、技术特点及适用领域。</w:t>
      </w:r>
    </w:p>
    <w:p>
      <w:pPr>
        <w:spacing w:line="360" w:lineRule="auto"/>
        <w:ind w:firstLine="638" w:firstLineChars="304"/>
        <w:rPr>
          <w:rFonts w:ascii="楷体" w:hAnsi="楷体" w:eastAsia="楷体" w:cs="Times New Roman"/>
          <w:kern w:val="44"/>
          <w:szCs w:val="21"/>
        </w:rPr>
      </w:pPr>
      <w:r>
        <w:rPr>
          <w:rFonts w:hint="eastAsia" w:ascii="楷体" w:hAnsi="楷体" w:eastAsia="楷体" w:cs="Times New Roman"/>
          <w:kern w:val="44"/>
          <w:szCs w:val="21"/>
        </w:rPr>
        <w:t>(标题编号依次为“1.</w:t>
      </w:r>
      <w:r>
        <w:rPr>
          <w:rFonts w:ascii="楷体" w:hAnsi="楷体" w:eastAsia="楷体" w:cs="Times New Roman"/>
          <w:kern w:val="44"/>
          <w:szCs w:val="21"/>
        </w:rPr>
        <w:t>”</w:t>
      </w:r>
      <w:r>
        <w:rPr>
          <w:rFonts w:hint="eastAsia" w:ascii="楷体" w:hAnsi="楷体" w:eastAsia="楷体" w:cs="Times New Roman"/>
          <w:kern w:val="44"/>
          <w:szCs w:val="21"/>
        </w:rPr>
        <w:t>“（1）”“①”，下同）</w:t>
      </w:r>
    </w:p>
    <w:p>
      <w:pPr>
        <w:numPr>
          <w:ilvl w:val="0"/>
          <w:numId w:val="1"/>
        </w:numPr>
        <w:spacing w:line="360" w:lineRule="auto"/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项目实施具体</w:t>
      </w:r>
      <w:r>
        <w:rPr>
          <w:rFonts w:ascii="仿宋" w:hAnsi="仿宋" w:eastAsia="仿宋"/>
          <w:b/>
          <w:sz w:val="28"/>
          <w:szCs w:val="28"/>
        </w:rPr>
        <w:t>内容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包括项目实施前存在问题、主要建设/改造内容、改造后问题是否得到解决等。</w:t>
      </w:r>
    </w:p>
    <w:p>
      <w:pPr>
        <w:numPr>
          <w:ilvl w:val="0"/>
          <w:numId w:val="1"/>
        </w:numPr>
        <w:spacing w:line="360" w:lineRule="auto"/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项目实施</w:t>
      </w:r>
      <w:r>
        <w:rPr>
          <w:rFonts w:hint="eastAsia" w:ascii="仿宋" w:hAnsi="仿宋" w:eastAsia="仿宋"/>
          <w:b/>
          <w:sz w:val="28"/>
          <w:szCs w:val="28"/>
        </w:rPr>
        <w:t>进度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ascii="仿宋" w:hAnsi="仿宋" w:eastAsia="仿宋"/>
          <w:sz w:val="28"/>
          <w:szCs w:val="28"/>
        </w:rPr>
        <w:t>项目开发情况、开工时间、竣工时间及运行情况</w:t>
      </w:r>
      <w:r>
        <w:rPr>
          <w:rFonts w:hint="eastAsia" w:ascii="仿宋" w:hAnsi="仿宋" w:eastAsia="仿宋"/>
          <w:sz w:val="28"/>
          <w:szCs w:val="28"/>
        </w:rPr>
        <w:t>等。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五、项</w:t>
      </w:r>
      <w:r>
        <w:rPr>
          <w:rFonts w:ascii="黑体" w:hAnsi="黑体" w:eastAsia="黑体"/>
          <w:sz w:val="28"/>
          <w:szCs w:val="28"/>
        </w:rPr>
        <w:t>目</w:t>
      </w:r>
      <w:r>
        <w:rPr>
          <w:rFonts w:hint="eastAsia" w:ascii="黑体" w:hAnsi="黑体" w:eastAsia="黑体"/>
          <w:sz w:val="28"/>
          <w:szCs w:val="28"/>
        </w:rPr>
        <w:t>年节</w:t>
      </w:r>
      <w:r>
        <w:rPr>
          <w:rFonts w:ascii="黑体" w:hAnsi="黑体" w:eastAsia="黑体"/>
          <w:sz w:val="28"/>
          <w:szCs w:val="28"/>
        </w:rPr>
        <w:t>能量及</w:t>
      </w:r>
      <w:r>
        <w:rPr>
          <w:rFonts w:hint="eastAsia" w:ascii="黑体" w:hAnsi="黑体" w:eastAsia="黑体"/>
          <w:sz w:val="28"/>
          <w:szCs w:val="28"/>
        </w:rPr>
        <w:t>年节</w:t>
      </w:r>
      <w:r>
        <w:rPr>
          <w:rFonts w:ascii="黑体" w:hAnsi="黑体" w:eastAsia="黑体"/>
          <w:sz w:val="28"/>
          <w:szCs w:val="28"/>
        </w:rPr>
        <w:t>能效益</w:t>
      </w:r>
    </w:p>
    <w:p>
      <w:pPr>
        <w:spacing w:line="360" w:lineRule="auto"/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 年节能量及减碳量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（1）计算项目的年节能量（折算成吨标准煤）。包括项目节能量计算依据、基期和报告期能源数据、节能量计算公式、折标系数、计算过程和结果。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（2）计算项目的年减碳量（折算成吨二氧化碳）。包括碳减排量计算依据、计算公式及选取的排碳因子等。</w:t>
      </w:r>
    </w:p>
    <w:p>
      <w:pPr>
        <w:numPr>
          <w:ilvl w:val="0"/>
          <w:numId w:val="2"/>
        </w:numPr>
        <w:spacing w:line="360" w:lineRule="auto"/>
        <w:ind w:firstLine="568" w:firstLineChars="202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年节能效益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说明节约能源品种的单价和年节能效益（万元）。例如，本项目节约电力100万kWh，当地电价0.68元/kW·h，年节能效益68万元。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ascii="黑体" w:hAnsi="黑体" w:eastAsia="黑体"/>
          <w:sz w:val="28"/>
          <w:szCs w:val="28"/>
        </w:rPr>
        <w:t>商</w:t>
      </w:r>
      <w:r>
        <w:rPr>
          <w:rFonts w:hint="eastAsia" w:ascii="黑体" w:hAnsi="黑体" w:eastAsia="黑体"/>
          <w:sz w:val="28"/>
          <w:szCs w:val="28"/>
        </w:rPr>
        <w:t>业</w:t>
      </w:r>
      <w:r>
        <w:rPr>
          <w:rFonts w:ascii="黑体" w:hAnsi="黑体" w:eastAsia="黑体"/>
          <w:sz w:val="28"/>
          <w:szCs w:val="28"/>
        </w:rPr>
        <w:t>模式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说明采用何种类型的合同能源管理模式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节能效益分享型请</w:t>
      </w:r>
      <w:r>
        <w:rPr>
          <w:rFonts w:ascii="仿宋" w:hAnsi="仿宋" w:eastAsia="仿宋"/>
          <w:sz w:val="28"/>
          <w:szCs w:val="28"/>
        </w:rPr>
        <w:t>说明</w:t>
      </w:r>
      <w:r>
        <w:rPr>
          <w:rFonts w:hint="eastAsia" w:ascii="仿宋" w:hAnsi="仿宋" w:eastAsia="仿宋"/>
          <w:sz w:val="28"/>
          <w:szCs w:val="28"/>
        </w:rPr>
        <w:t>节能服务公司</w:t>
      </w:r>
      <w:r>
        <w:rPr>
          <w:rFonts w:ascii="仿宋" w:hAnsi="仿宋" w:eastAsia="仿宋"/>
          <w:sz w:val="28"/>
          <w:szCs w:val="28"/>
        </w:rPr>
        <w:t>项目合同期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分享比例</w:t>
      </w:r>
      <w:r>
        <w:rPr>
          <w:rFonts w:hint="eastAsia" w:ascii="仿宋" w:hAnsi="仿宋" w:eastAsia="仿宋"/>
          <w:sz w:val="28"/>
          <w:szCs w:val="28"/>
        </w:rPr>
        <w:t>、设备所有权及运营维护、付款方式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节能量保证型请说明保证的节能量/节能率、达不到约定节能目标采取的补偿措施、付款方式等。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能源费用托管型请说明能源基准确定、托管费用、托管范围、合同期、付款方式等。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</w:t>
      </w:r>
      <w:r>
        <w:rPr>
          <w:rFonts w:ascii="黑体" w:hAnsi="黑体" w:eastAsia="黑体"/>
          <w:sz w:val="28"/>
          <w:szCs w:val="28"/>
        </w:rPr>
        <w:t>投</w:t>
      </w:r>
      <w:r>
        <w:rPr>
          <w:rFonts w:hint="eastAsia" w:ascii="黑体" w:hAnsi="黑体" w:eastAsia="黑体"/>
          <w:sz w:val="28"/>
          <w:szCs w:val="28"/>
        </w:rPr>
        <w:t>资额</w:t>
      </w:r>
      <w:r>
        <w:rPr>
          <w:rFonts w:ascii="黑体" w:hAnsi="黑体" w:eastAsia="黑体"/>
          <w:sz w:val="28"/>
          <w:szCs w:val="28"/>
        </w:rPr>
        <w:t>及融</w:t>
      </w:r>
      <w:r>
        <w:rPr>
          <w:rFonts w:hint="eastAsia" w:ascii="黑体" w:hAnsi="黑体" w:eastAsia="黑体"/>
          <w:sz w:val="28"/>
          <w:szCs w:val="28"/>
        </w:rPr>
        <w:t>资</w:t>
      </w:r>
      <w:r>
        <w:rPr>
          <w:rFonts w:ascii="黑体" w:hAnsi="黑体" w:eastAsia="黑体"/>
          <w:sz w:val="28"/>
          <w:szCs w:val="28"/>
        </w:rPr>
        <w:t>渠道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请说明项目投资额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资金来源。如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本项目投资额共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00万元，其中300万为节能服务公司自有资金，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00万来自某</w:t>
      </w:r>
      <w:r>
        <w:rPr>
          <w:rFonts w:ascii="仿宋" w:hAnsi="仿宋" w:eastAsia="仿宋"/>
          <w:sz w:val="28"/>
          <w:szCs w:val="28"/>
        </w:rPr>
        <w:t>银行</w:t>
      </w:r>
      <w:r>
        <w:rPr>
          <w:rFonts w:hint="eastAsia" w:ascii="仿宋" w:hAnsi="仿宋" w:eastAsia="仿宋"/>
          <w:sz w:val="28"/>
          <w:szCs w:val="28"/>
        </w:rPr>
        <w:t>贷款。</w:t>
      </w:r>
    </w:p>
    <w:p>
      <w:p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八、优惠政策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获得何种来自国家或地方相关财政奖励或税收优惠，没有获得可不写。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  <w:lang w:eastAsia="zh-CN"/>
        </w:rPr>
        <w:t>建筑领域</w:t>
      </w:r>
      <w:r>
        <w:rPr>
          <w:rFonts w:hint="eastAsia" w:ascii="华文中宋" w:hAnsi="华文中宋" w:eastAsia="华文中宋"/>
          <w:b/>
          <w:bCs/>
          <w:sz w:val="40"/>
          <w:szCs w:val="40"/>
        </w:rPr>
        <w:t>合同能源管理优秀示范项目</w:t>
      </w:r>
    </w:p>
    <w:p>
      <w:pPr>
        <w:pStyle w:val="3"/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/>
          <w:b/>
          <w:bCs/>
          <w:sz w:val="40"/>
          <w:szCs w:val="40"/>
        </w:rPr>
        <w:t>附件材料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技术方案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请提供电子版。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合同副本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请提供扫描件。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验收报告或用户评价</w:t>
      </w:r>
    </w:p>
    <w:p>
      <w:pPr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请提供扫描件。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第三方节能量检测报告</w:t>
      </w:r>
    </w:p>
    <w:p>
      <w:pPr>
        <w:spacing w:line="360" w:lineRule="auto"/>
        <w:ind w:left="56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如有，请提供扫描件。</w:t>
      </w:r>
    </w:p>
    <w:p>
      <w:pPr>
        <w:spacing w:line="360" w:lineRule="auto"/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before="312" w:beforeLines="100" w:after="312" w:afterLines="100" w:line="400" w:lineRule="exact"/>
        <w:rPr>
          <w:rFonts w:ascii="宋体" w:hAnsi="宋体" w:cs="宋体"/>
          <w:kern w:val="0"/>
          <w:sz w:val="24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附录1 各种能源折标准煤参考系数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604"/>
        <w:gridCol w:w="3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能源名称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平均低位发热量*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折标准煤系数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原煤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5000千卡/千克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0.7143千克标准煤/千克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洗精煤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6300千卡/千克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0.9000千克标准煤/千克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其他洗煤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洗中煤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2000千卡/千克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0.2857千克标准煤/千克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煤泥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2000-3000千卡/千克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0.2857-0.4286千克标准煤/千克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焦炭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6800千卡/千克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0.9714千克标准煤/千克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原油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10000千卡/千克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1.4286千克标准煤/千克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燃料油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10000千卡/千克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1.4286千克标准煤/千克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汽油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10300千卡/千克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1.4714千克标准煤/千克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煤油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10300千卡/千克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1.4714千克标准煤/千克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柴油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10200千卡/千克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1.4571千克标准煤/千克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液化石油气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12000千卡/千克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1.7143千克标准煤/千克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炼厂干气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11000千卡/千克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1.5714千克标准煤/千克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天然气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9310千卡/立方米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1.3300千克标准煤/立方米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焦炉煤气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4000-4300千卡/立方米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0.5714-0.6143千克标准煤/立方米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其他煤气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发生煤气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1250千卡/立方米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0.1786千克标准煤/立方米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重油催化裂解煤气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4600千卡/立方米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0.6571千克标准煤/立方米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重油热裂解煤气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8500千卡/立方米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1.2143千克标准煤/立方米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焦碳制气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3900千卡/立方米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0.5571千克标准煤/立方米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压力气化煤气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3600千卡/立方米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0.5143千克标准煤/立方米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水煤气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2500千卡/立方米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0.3571千克标准煤/立方米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炼焦油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8000千卡/千克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1.1429千克标准煤/千克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粗苯 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10000千卡/千克 </w:t>
            </w:r>
          </w:p>
        </w:tc>
        <w:tc>
          <w:tcPr>
            <w:tcW w:w="21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1.4286千克标准煤/千克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热力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（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当量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）</w:t>
            </w:r>
          </w:p>
        </w:tc>
        <w:tc>
          <w:tcPr>
            <w:tcW w:w="370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0.03412千克标准煤/10</w:t>
            </w:r>
            <w:r>
              <w:rPr>
                <w:rFonts w:ascii="Times New Roman" w:cs="Times New Roman" w:eastAsiaTheme="minorEastAsia"/>
                <w:szCs w:val="21"/>
                <w:vertAlign w:val="superscript"/>
              </w:rPr>
              <w:t>6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 xml:space="preserve">焦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both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电力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（等价）</w:t>
            </w:r>
          </w:p>
        </w:tc>
        <w:tc>
          <w:tcPr>
            <w:tcW w:w="370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30</w:t>
            </w: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1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.5 gce/kWh</w:t>
            </w:r>
            <w:r>
              <w:rPr>
                <w:rStyle w:val="14"/>
                <w:rFonts w:ascii="Times New Roman" w:cs="Times New Roman" w:eastAsiaTheme="minorEastAsia"/>
                <w:sz w:val="21"/>
                <w:szCs w:val="21"/>
              </w:rPr>
              <w:footnoteReference w:id="0"/>
            </w:r>
          </w:p>
        </w:tc>
      </w:tr>
    </w:tbl>
    <w:p>
      <w:pPr>
        <w:spacing w:line="360" w:lineRule="auto"/>
        <w:ind w:firstLine="4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注：此表平均低位发热量用千卡表示，如需换算成</w:t>
      </w:r>
      <w:r>
        <w:rPr>
          <w:rFonts w:hint="eastAsia" w:ascii="Times New Roman" w:hAnsi="Times New Roman" w:cs="Times New Roman"/>
          <w:szCs w:val="21"/>
        </w:rPr>
        <w:t>千焦</w:t>
      </w:r>
      <w:r>
        <w:rPr>
          <w:rFonts w:ascii="Times New Roman" w:hAnsi="Times New Roman" w:cs="Times New Roman"/>
          <w:szCs w:val="21"/>
        </w:rPr>
        <w:t>，乘4.1816即可。</w:t>
      </w:r>
    </w:p>
    <w:p>
      <w:pPr>
        <w:spacing w:line="360" w:lineRule="auto"/>
        <w:ind w:firstLine="480"/>
        <w:rPr>
          <w:rFonts w:ascii="Times New Roman" w:hAnsi="Times New Roman" w:cs="Times New Roman"/>
          <w:szCs w:val="21"/>
        </w:rPr>
      </w:pPr>
    </w:p>
    <w:p>
      <w:pPr>
        <w:widowControl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附录2 主要能源排放因子参考系数</w:t>
      </w:r>
    </w:p>
    <w:tbl>
      <w:tblPr>
        <w:tblStyle w:val="9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4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能源名称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排放因子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原煤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87.3 tCO</w:t>
            </w:r>
            <w:r>
              <w:rPr>
                <w:rFonts w:asci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/TJ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汽油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67.5 tCO</w:t>
            </w:r>
            <w:r>
              <w:rPr>
                <w:rFonts w:asci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/TJ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柴油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72.6 tCO</w:t>
            </w:r>
            <w:r>
              <w:rPr>
                <w:rFonts w:asci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/TJ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天然气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54.3 tCO</w:t>
            </w:r>
            <w:r>
              <w:rPr>
                <w:rFonts w:asci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/TJ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液化石油气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61.6 tCO</w:t>
            </w:r>
            <w:r>
              <w:rPr>
                <w:rFonts w:asci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/TJ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9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cs="Times New Roman" w:eastAsiaTheme="minorEastAsia"/>
                <w:sz w:val="21"/>
                <w:szCs w:val="21"/>
              </w:rPr>
              <w:t>电力</w:t>
            </w:r>
          </w:p>
        </w:tc>
        <w:tc>
          <w:tcPr>
            <w:tcW w:w="270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5"/>
              <w:jc w:val="center"/>
              <w:rPr>
                <w:rFonts w:asci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eastAsiaTheme="minorEastAsia"/>
                <w:sz w:val="21"/>
                <w:szCs w:val="21"/>
              </w:rPr>
              <w:t>0.5703t CO</w:t>
            </w:r>
            <w:r>
              <w:rPr>
                <w:rFonts w:ascii="Times New Roman" w:cs="Times New Roman" w:eastAsiaTheme="minor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cs="Times New Roman" w:eastAsiaTheme="minorEastAsia"/>
                <w:sz w:val="21"/>
                <w:szCs w:val="21"/>
              </w:rPr>
              <w:t>/MWh</w:t>
            </w:r>
            <w:r>
              <w:rPr>
                <w:rStyle w:val="14"/>
                <w:rFonts w:ascii="Times New Roman" w:cs="Times New Roman" w:eastAsiaTheme="minorEastAsia"/>
                <w:sz w:val="21"/>
                <w:szCs w:val="21"/>
              </w:rPr>
              <w:footnoteReference w:id="1"/>
            </w:r>
          </w:p>
        </w:tc>
      </w:tr>
    </w:tbl>
    <w:p>
      <w:pPr>
        <w:pStyle w:val="8"/>
        <w:widowControl/>
        <w:shd w:val="clear" w:color="auto" w:fill="FFFFFF"/>
        <w:spacing w:beforeAutospacing="0" w:afterAutospacing="0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22646C-B35D-454B-A7CD-A9A7B9A76F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EB6144-D13F-4DC2-99B1-689E7B6C000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CCF85BC-028F-4BFC-BC75-08A90DF219C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C1B10CA7-5E46-4EE6-BD06-7BFDB3368C85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007173E7-A11F-4F74-A283-D9021C84B35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AB889D9-E905-4EC4-BCC4-9AB3DE54C5D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  <w:rPr>
          <w:rFonts w:ascii="Times New Roman" w:hAnsi="Times New Roman" w:eastAsia="宋体" w:cs="Times New Roman"/>
          <w:sz w:val="20"/>
          <w:szCs w:val="20"/>
        </w:rPr>
      </w:pPr>
      <w:r>
        <w:rPr>
          <w:rStyle w:val="14"/>
        </w:rPr>
        <w:footnoteRef/>
      </w:r>
      <w:r>
        <w:t xml:space="preserve"> </w:t>
      </w:r>
      <w:r>
        <w:rPr>
          <w:rFonts w:hint="eastAsia" w:ascii="Times New Roman" w:hAnsi="Times New Roman" w:eastAsia="宋体" w:cs="Times New Roman"/>
          <w:sz w:val="20"/>
          <w:szCs w:val="20"/>
        </w:rPr>
        <w:t>数据来源：国家能源局发布2022年全国电力工业统计数据。</w:t>
      </w:r>
    </w:p>
  </w:footnote>
  <w:footnote w:id="1">
    <w:p>
      <w:pPr>
        <w:pStyle w:val="7"/>
      </w:pPr>
      <w:r>
        <w:rPr>
          <w:rStyle w:val="14"/>
        </w:rPr>
        <w:footnoteRef/>
      </w:r>
      <w:r>
        <w:t xml:space="preserve"> 生态环境部</w:t>
      </w:r>
      <w:r>
        <w:fldChar w:fldCharType="begin"/>
      </w:r>
      <w:r>
        <w:instrText xml:space="preserve"> HYPERLINK "https://link.zhihu.com/?target=https://www.mee.gov.cn/xxgk2018/xxgk/xxgk06/202302/t20230207_1015569.html" \t "https://zhuanlan.zhihu.com/p/_blank" </w:instrText>
      </w:r>
      <w:r>
        <w:fldChar w:fldCharType="separate"/>
      </w:r>
      <w:r>
        <w:rPr>
          <w:rFonts w:hint="eastAsia"/>
        </w:rPr>
        <w:t>《关于做好2023—2025年发电行业企业温室气体排放报告管理有关工作的通知》</w:t>
      </w:r>
      <w:r>
        <w:rPr>
          <w:rFonts w:hint="eastAsia"/>
        </w:rPr>
        <w:fldChar w:fldCharType="end"/>
      </w:r>
      <w:r>
        <w:rPr>
          <w:rFonts w:hint="eastAsia"/>
        </w:rPr>
        <w:t>中明确，</w:t>
      </w:r>
      <w:r>
        <w:t>2022年度全国电网平均排放因子为0.5703t CO</w:t>
      </w:r>
      <w:r>
        <w:rPr>
          <w:vertAlign w:val="subscript"/>
        </w:rPr>
        <w:t>2</w:t>
      </w:r>
      <w:r>
        <w:t>/MWh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CC54D"/>
    <w:multiLevelType w:val="singleLevel"/>
    <w:tmpl w:val="B66CC54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F196AA0F"/>
    <w:multiLevelType w:val="singleLevel"/>
    <w:tmpl w:val="F196AA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E98A36"/>
    <w:multiLevelType w:val="singleLevel"/>
    <w:tmpl w:val="4AE98A36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ZDc3OGM0MzFhMDdkODRiODRiYzk0OGM0MGUxMjkifQ=="/>
  </w:docVars>
  <w:rsids>
    <w:rsidRoot w:val="6B6E2C9F"/>
    <w:rsid w:val="0004229C"/>
    <w:rsid w:val="00062E0B"/>
    <w:rsid w:val="00106E58"/>
    <w:rsid w:val="0011707D"/>
    <w:rsid w:val="001413E5"/>
    <w:rsid w:val="00180B3A"/>
    <w:rsid w:val="00195407"/>
    <w:rsid w:val="001A64F0"/>
    <w:rsid w:val="001D15AB"/>
    <w:rsid w:val="001F2D78"/>
    <w:rsid w:val="002357EC"/>
    <w:rsid w:val="002377F4"/>
    <w:rsid w:val="002B2517"/>
    <w:rsid w:val="002E3892"/>
    <w:rsid w:val="002F7ABE"/>
    <w:rsid w:val="00327F73"/>
    <w:rsid w:val="003646B5"/>
    <w:rsid w:val="003A3EAF"/>
    <w:rsid w:val="003D273B"/>
    <w:rsid w:val="003E3087"/>
    <w:rsid w:val="004053D5"/>
    <w:rsid w:val="00435D6D"/>
    <w:rsid w:val="004421B5"/>
    <w:rsid w:val="00445F8E"/>
    <w:rsid w:val="004C662E"/>
    <w:rsid w:val="005879CB"/>
    <w:rsid w:val="005C5C8E"/>
    <w:rsid w:val="005F1F79"/>
    <w:rsid w:val="0061731C"/>
    <w:rsid w:val="00636A82"/>
    <w:rsid w:val="006834C4"/>
    <w:rsid w:val="00692051"/>
    <w:rsid w:val="006A3611"/>
    <w:rsid w:val="006D76B8"/>
    <w:rsid w:val="006E2226"/>
    <w:rsid w:val="00716853"/>
    <w:rsid w:val="007E0257"/>
    <w:rsid w:val="007E58CC"/>
    <w:rsid w:val="008B3F89"/>
    <w:rsid w:val="008D1659"/>
    <w:rsid w:val="009133C6"/>
    <w:rsid w:val="00914CEC"/>
    <w:rsid w:val="00932C8D"/>
    <w:rsid w:val="00962D90"/>
    <w:rsid w:val="009813B4"/>
    <w:rsid w:val="00997414"/>
    <w:rsid w:val="009F5699"/>
    <w:rsid w:val="00A023C4"/>
    <w:rsid w:val="00A06CA0"/>
    <w:rsid w:val="00A11BA9"/>
    <w:rsid w:val="00A701D1"/>
    <w:rsid w:val="00A80FF3"/>
    <w:rsid w:val="00A963EC"/>
    <w:rsid w:val="00AB291D"/>
    <w:rsid w:val="00AB5571"/>
    <w:rsid w:val="00AC6A49"/>
    <w:rsid w:val="00AE7D3B"/>
    <w:rsid w:val="00B13D18"/>
    <w:rsid w:val="00B1488F"/>
    <w:rsid w:val="00B84C28"/>
    <w:rsid w:val="00B9139E"/>
    <w:rsid w:val="00BC0079"/>
    <w:rsid w:val="00C817D7"/>
    <w:rsid w:val="00CA1BF4"/>
    <w:rsid w:val="00D37EAC"/>
    <w:rsid w:val="00DC7924"/>
    <w:rsid w:val="00DD1D54"/>
    <w:rsid w:val="00E36273"/>
    <w:rsid w:val="00E366ED"/>
    <w:rsid w:val="00E5389B"/>
    <w:rsid w:val="00E654FD"/>
    <w:rsid w:val="00E668D5"/>
    <w:rsid w:val="00E87B20"/>
    <w:rsid w:val="00ED03BD"/>
    <w:rsid w:val="00EE52EB"/>
    <w:rsid w:val="00F22FC1"/>
    <w:rsid w:val="00F53747"/>
    <w:rsid w:val="00F8752D"/>
    <w:rsid w:val="00FE3B63"/>
    <w:rsid w:val="00FE5D7F"/>
    <w:rsid w:val="081D0B15"/>
    <w:rsid w:val="090827B8"/>
    <w:rsid w:val="0B9724BE"/>
    <w:rsid w:val="0BCD4A73"/>
    <w:rsid w:val="0BFE4037"/>
    <w:rsid w:val="16987F1E"/>
    <w:rsid w:val="171E39EB"/>
    <w:rsid w:val="19804DFE"/>
    <w:rsid w:val="1A465396"/>
    <w:rsid w:val="1A805655"/>
    <w:rsid w:val="1FCB6B1D"/>
    <w:rsid w:val="1FF42D40"/>
    <w:rsid w:val="21DC7FB2"/>
    <w:rsid w:val="21DF604D"/>
    <w:rsid w:val="21E5134D"/>
    <w:rsid w:val="223A3646"/>
    <w:rsid w:val="24AC1531"/>
    <w:rsid w:val="25B30199"/>
    <w:rsid w:val="2A5A5603"/>
    <w:rsid w:val="2A7670B2"/>
    <w:rsid w:val="2F576A75"/>
    <w:rsid w:val="33E73B4C"/>
    <w:rsid w:val="35515DFA"/>
    <w:rsid w:val="38551E53"/>
    <w:rsid w:val="39ED19F3"/>
    <w:rsid w:val="3AF742F1"/>
    <w:rsid w:val="3E226907"/>
    <w:rsid w:val="42125D31"/>
    <w:rsid w:val="42456CE4"/>
    <w:rsid w:val="44A02FD8"/>
    <w:rsid w:val="45EB157E"/>
    <w:rsid w:val="47F01E11"/>
    <w:rsid w:val="486B4AD4"/>
    <w:rsid w:val="495333A3"/>
    <w:rsid w:val="4B803EC6"/>
    <w:rsid w:val="4C0E17AF"/>
    <w:rsid w:val="4C4B6F4B"/>
    <w:rsid w:val="4CB52FF7"/>
    <w:rsid w:val="4CBF7C60"/>
    <w:rsid w:val="4F4C553B"/>
    <w:rsid w:val="50E3585F"/>
    <w:rsid w:val="5211017B"/>
    <w:rsid w:val="5491223A"/>
    <w:rsid w:val="55563C21"/>
    <w:rsid w:val="562B24D1"/>
    <w:rsid w:val="566843A7"/>
    <w:rsid w:val="56B822AF"/>
    <w:rsid w:val="56D663B2"/>
    <w:rsid w:val="57A95EC0"/>
    <w:rsid w:val="5DFE1355"/>
    <w:rsid w:val="5E2F3C7C"/>
    <w:rsid w:val="5EE84E6A"/>
    <w:rsid w:val="618D0B44"/>
    <w:rsid w:val="643168BD"/>
    <w:rsid w:val="65532C52"/>
    <w:rsid w:val="6638075A"/>
    <w:rsid w:val="67353ADF"/>
    <w:rsid w:val="686A2567"/>
    <w:rsid w:val="6A4A111B"/>
    <w:rsid w:val="6B2323BC"/>
    <w:rsid w:val="6B4E5C6E"/>
    <w:rsid w:val="6B6E2C9F"/>
    <w:rsid w:val="6BA502BC"/>
    <w:rsid w:val="6C7D450A"/>
    <w:rsid w:val="6F59226E"/>
    <w:rsid w:val="6F7805A6"/>
    <w:rsid w:val="704605F3"/>
    <w:rsid w:val="728F56AD"/>
    <w:rsid w:val="7423274B"/>
    <w:rsid w:val="744E3A3D"/>
    <w:rsid w:val="76157451"/>
    <w:rsid w:val="78E873B3"/>
    <w:rsid w:val="7AF9493D"/>
    <w:rsid w:val="7F4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17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脚注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F319-B04B-4D49-B66A-8043110CCC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403</Words>
  <Characters>2301</Characters>
  <Lines>19</Lines>
  <Paragraphs>5</Paragraphs>
  <TotalTime>18</TotalTime>
  <ScaleCrop>false</ScaleCrop>
  <LinksUpToDate>false</LinksUpToDate>
  <CharactersWithSpaces>2699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2023-09-08T05:51:00Z</dcterms:created>
  <dc:creator>王珏旻</dc:creator>
  <cp:lastModifiedBy>WPS_1671544964</cp:lastModifiedBy>
  <dcterms:modified xsi:type="dcterms:W3CDTF">2023-09-12T02:03:21Z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1E075C3215F0476B80766513BDE8BE86</vt:lpwstr>
  </property>
</Properties>
</file>